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Monasterio de Iranzu: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1000-1100 - Monasterio benedictino XI-XII, que decae y queda una iglesia.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1176 - Donación a Nicolás de París por su hermano Pedro de París, obispo de Pamplona. Depende de la casa madre La Cour-Dieu).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1193 - Pedro de París se hace enterrar en el presbiterio de Iranzu.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1199 - sala capitular terminada o a punto (se entierra en ella Nicolás de París).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1200 (ca.) - La cilla, posiblemente anterior al claustro (contrafuertes dentro del claustro, para contrarrestar el peso). La sala capitular se cubre con bóvedas góticas. Se aboveda la galería norte (mandatum, pegante a la iglesia) y se terminan las arquerías de los primeros dos tramos de la panda occidental (contra la cilla) y uno del tramo oriental.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1250 (ca.) - Se cierran las estancias de las pandas oriental y occidental. Construcción del refectorio. Construcción del noviciado y la enfermería, con la capilla de San Adrián.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1270 - el refectorio está de obras. Muros perimetrales del pabellón de los monjes y vanos de las sus estancias.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1300 (ca.) - terminados el refectorio y la cocina (portada fines del XIII).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1350 (ca.) - casa abacial (¡¡remodelado en época barroca!!). Finalización de las obras del claustro (las arquerías del resto de tramos de pandas que no he mencionado para 1200).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1550 (ca.) - derrumbamiento importante.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1625 (ca.) - reconstrucción del monasterio: sobreclaustro ("que no lo hauia"), dormitorio viejo, "salón", "hizo la escalera", arregló las celdas de los religiosos y del abad (no parece que se refiera a la casa abacial, porque habla de la parte sur) y "el otro quarto arrimado al refitorio". Resumen: la parte sur, excepto la cocina y la entrada al refectorio. Sacristía.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Sin cronología precisa: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Muro perimetral. Actualmente solamente se conserva al este.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Biblio: 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Martínez, A., Palomo, G., Senra, J.L. (1995), "Refectorio y cocina de Santa María la Real de Izanzu. Un modelo tipológico original", Príncipe de Viana, año 56, nº205, 275-284.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Martínez Álava, C., (2016), Todo el románico de Navarra. Fundación Santa María la Real del Patrimonio Histórico, Aguilar de Campoo, "voz Abárzuza" pp.125-142.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Fernández-Ladreda, C. (dir.), Martínez de Aguirre, J., Martínez Álava, C.J. (2004), El arte románico en Navarra, Institución Príncipe de Viana - Gobierno de Navarra, pp.214-221.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Martínez Álava, C.J. (2007), Del románico al gótico en la arquitectura de Navarra, Institución Príncipe de Viana - Gobierno de Navarra, pp.141-171.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